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874" w14:textId="189A15D6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br/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DECLARAÇÃO Nº 0</w:t>
      </w:r>
      <w:r w:rsidR="00D3499E">
        <w:rPr>
          <w:rFonts w:asciiTheme="majorHAnsi" w:hAnsiTheme="majorHAnsi" w:cstheme="majorHAnsi"/>
          <w:b/>
          <w:sz w:val="24"/>
          <w:szCs w:val="24"/>
        </w:rPr>
        <w:t>3</w:t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0/2026</w:t>
      </w:r>
    </w:p>
    <w:p w14:paraId="59C13E0F" w14:textId="5FA46282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ASSUNTO: PLANO DE CONTRATAÇÃO ANUAL (PCA)</w:t>
      </w:r>
    </w:p>
    <w:p w14:paraId="6576BC95" w14:textId="7262D6DF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 xml:space="preserve">PERÍODO DE REFERÊNCIA: </w:t>
      </w:r>
      <w:r w:rsidR="00D3499E">
        <w:rPr>
          <w:rFonts w:asciiTheme="majorHAnsi" w:hAnsiTheme="majorHAnsi" w:cstheme="majorHAnsi"/>
          <w:b/>
          <w:sz w:val="24"/>
          <w:szCs w:val="24"/>
        </w:rPr>
        <w:t>JUNHO/</w:t>
      </w:r>
      <w:r w:rsidRPr="001B517D">
        <w:rPr>
          <w:rFonts w:asciiTheme="majorHAnsi" w:hAnsiTheme="majorHAnsi" w:cstheme="majorHAnsi"/>
          <w:b/>
          <w:sz w:val="24"/>
          <w:szCs w:val="24"/>
        </w:rPr>
        <w:t>2026</w:t>
      </w:r>
    </w:p>
    <w:p w14:paraId="4B52FB39" w14:textId="7777777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97CA754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4E2C1163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12, inciso VII, e 18 da Lei nº 14.133/2021 (Lei de Licitações e Contratos Administrativos), relativos ao planejamento das contratações públicas e ao Plano de Contratação Anual;</w:t>
      </w:r>
    </w:p>
    <w:p w14:paraId="0BA3F4EF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2BF832DE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6BC43168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60A85CEA" w14:textId="77777777" w:rsidR="007B7122" w:rsidRPr="001B517D" w:rsidRDefault="007B7122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60159D8" w14:textId="0D4E6D4F" w:rsidR="007B7122" w:rsidRPr="00512DBF" w:rsidRDefault="002835F4" w:rsidP="00512DBF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12DBF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00F3353F" w14:textId="77777777" w:rsidR="00512DBF" w:rsidRPr="001B517D" w:rsidRDefault="00512DBF" w:rsidP="00512DBF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CE08F54" w14:textId="27D3432C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planejamento das contratações públicas, responsabilidade fiscal e controle externo, que no período acima indicado </w:t>
      </w:r>
      <w:r w:rsidR="00175437" w:rsidRPr="00175437">
        <w:rPr>
          <w:rFonts w:asciiTheme="majorHAnsi" w:hAnsiTheme="majorHAnsi" w:cstheme="majorHAnsi"/>
          <w:b/>
          <w:bCs/>
          <w:sz w:val="24"/>
          <w:szCs w:val="24"/>
        </w:rPr>
        <w:t xml:space="preserve">NÃO HOUVE ELABORAÇÃO, APROVAÇÃO OU ATUALIZAÇÃO DE PLANO DE CONTRATAÇÃO ANUAL (PCA) </w:t>
      </w:r>
      <w:r w:rsidRPr="001B517D">
        <w:rPr>
          <w:rFonts w:asciiTheme="majorHAnsi" w:hAnsiTheme="majorHAnsi" w:cstheme="majorHAnsi"/>
          <w:sz w:val="24"/>
          <w:szCs w:val="24"/>
        </w:rPr>
        <w:t>no âmbito da Câmara Municipal de Natal.</w:t>
      </w:r>
    </w:p>
    <w:p w14:paraId="34D4FE06" w14:textId="47D3534B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Registra-se que, inexistindo ato formal relativo ao Plano de Contratação Anual no período de referência, não há publicação, revisão ou versão consolidada a ser divulgada no Portal da Transparência.</w:t>
      </w:r>
    </w:p>
    <w:p w14:paraId="6A220B90" w14:textId="77777777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72275EB" w14:textId="601C234E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7A2377">
        <w:rPr>
          <w:rFonts w:asciiTheme="majorHAnsi" w:hAnsiTheme="majorHAnsi" w:cstheme="majorHAnsi"/>
          <w:sz w:val="24"/>
          <w:szCs w:val="24"/>
        </w:rPr>
        <w:t>0</w:t>
      </w:r>
      <w:r w:rsidR="00D3499E">
        <w:rPr>
          <w:rFonts w:asciiTheme="majorHAnsi" w:hAnsiTheme="majorHAnsi" w:cstheme="majorHAnsi"/>
          <w:sz w:val="24"/>
          <w:szCs w:val="24"/>
        </w:rPr>
        <w:t>1</w:t>
      </w:r>
      <w:r w:rsidR="007A2377">
        <w:rPr>
          <w:rFonts w:asciiTheme="majorHAnsi" w:hAnsiTheme="majorHAnsi" w:cstheme="majorHAnsi"/>
          <w:sz w:val="24"/>
          <w:szCs w:val="24"/>
        </w:rPr>
        <w:t xml:space="preserve"> </w:t>
      </w:r>
      <w:r w:rsidRPr="001B517D">
        <w:rPr>
          <w:rFonts w:asciiTheme="majorHAnsi" w:hAnsiTheme="majorHAnsi" w:cstheme="majorHAnsi"/>
          <w:sz w:val="24"/>
          <w:szCs w:val="24"/>
        </w:rPr>
        <w:t xml:space="preserve">de </w:t>
      </w:r>
      <w:r w:rsidR="00F07D74">
        <w:rPr>
          <w:rFonts w:asciiTheme="majorHAnsi" w:hAnsiTheme="majorHAnsi" w:cstheme="majorHAnsi"/>
          <w:sz w:val="24"/>
          <w:szCs w:val="24"/>
        </w:rPr>
        <w:t>Julho</w:t>
      </w:r>
      <w:r w:rsidRPr="001B51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B517D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1B517D">
        <w:rPr>
          <w:rFonts w:asciiTheme="majorHAnsi" w:hAnsiTheme="majorHAnsi" w:cstheme="majorHAnsi"/>
          <w:sz w:val="24"/>
          <w:szCs w:val="24"/>
        </w:rPr>
        <w:t xml:space="preserve"> 20</w:t>
      </w:r>
      <w:r w:rsidR="000C2974">
        <w:rPr>
          <w:rFonts w:asciiTheme="majorHAnsi" w:hAnsiTheme="majorHAnsi" w:cstheme="majorHAnsi"/>
          <w:sz w:val="24"/>
          <w:szCs w:val="24"/>
        </w:rPr>
        <w:t>26</w:t>
      </w:r>
      <w:r w:rsidRPr="001B517D">
        <w:rPr>
          <w:rFonts w:asciiTheme="majorHAnsi" w:hAnsiTheme="majorHAnsi" w:cstheme="majorHAnsi"/>
          <w:sz w:val="24"/>
          <w:szCs w:val="24"/>
        </w:rPr>
        <w:t>.</w:t>
      </w:r>
    </w:p>
    <w:p w14:paraId="401293B6" w14:textId="1DA8B0C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</w:r>
    </w:p>
    <w:p w14:paraId="23B970B4" w14:textId="5F6FE395" w:rsidR="007B7122" w:rsidRPr="000C2974" w:rsidRDefault="000C2974" w:rsidP="000C297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97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7B7122" w:rsidRPr="000C297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1453" w14:textId="77777777" w:rsidR="009915C1" w:rsidRDefault="009915C1">
      <w:pPr>
        <w:spacing w:after="0" w:line="240" w:lineRule="auto"/>
      </w:pPr>
      <w:r>
        <w:separator/>
      </w:r>
    </w:p>
  </w:endnote>
  <w:endnote w:type="continuationSeparator" w:id="0">
    <w:p w14:paraId="31AFB257" w14:textId="77777777" w:rsidR="009915C1" w:rsidRDefault="0099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3818" w14:textId="77777777" w:rsidR="007B7122" w:rsidRDefault="002835F4">
    <w:pPr>
      <w:pStyle w:val="Rodap"/>
      <w:jc w:val="center"/>
    </w:pPr>
    <w:r>
      <w:t>Documento destinado à publicação no Portal da Transparência e instrução de remessas eletrônicas ao TCE/RN.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A1CB" w14:textId="77777777" w:rsidR="009915C1" w:rsidRDefault="009915C1">
      <w:pPr>
        <w:spacing w:after="0" w:line="240" w:lineRule="auto"/>
      </w:pPr>
      <w:r>
        <w:separator/>
      </w:r>
    </w:p>
  </w:footnote>
  <w:footnote w:type="continuationSeparator" w:id="0">
    <w:p w14:paraId="660E32F7" w14:textId="77777777" w:rsidR="009915C1" w:rsidRDefault="0099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4B0" w14:textId="77777777" w:rsidR="007A2377" w:rsidRPr="009D62CF" w:rsidRDefault="007A2377" w:rsidP="007A2377">
    <w:pPr>
      <w:pStyle w:val="Cabealho"/>
      <w:rPr>
        <w:b/>
      </w:rPr>
    </w:pPr>
    <w:r w:rsidRPr="009D62CF">
      <w:rPr>
        <w:noProof/>
      </w:rPr>
      <w:drawing>
        <wp:anchor distT="0" distB="0" distL="114300" distR="114300" simplePos="0" relativeHeight="251659264" behindDoc="1" locked="0" layoutInCell="1" allowOverlap="1" wp14:anchorId="2DF49C4B" wp14:editId="7F04AB83">
          <wp:simplePos x="0" y="0"/>
          <wp:positionH relativeFrom="column">
            <wp:posOffset>2450069</wp:posOffset>
          </wp:positionH>
          <wp:positionV relativeFrom="paragraph">
            <wp:posOffset>-312205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7A3E3" w14:textId="77777777" w:rsidR="007A2377" w:rsidRPr="009D62CF" w:rsidRDefault="007A2377" w:rsidP="007A2377">
    <w:pPr>
      <w:pStyle w:val="Cabealho"/>
      <w:rPr>
        <w:b/>
      </w:rPr>
    </w:pPr>
  </w:p>
  <w:p w14:paraId="48A70E09" w14:textId="77777777" w:rsidR="007A2377" w:rsidRPr="009D62CF" w:rsidRDefault="007A2377" w:rsidP="007A2377">
    <w:pPr>
      <w:pStyle w:val="Cabealho"/>
      <w:rPr>
        <w:b/>
      </w:rPr>
    </w:pPr>
  </w:p>
  <w:p w14:paraId="4BD24F8D" w14:textId="77777777" w:rsidR="007A2377" w:rsidRPr="009D62CF" w:rsidRDefault="007A2377" w:rsidP="007A2377">
    <w:pPr>
      <w:pStyle w:val="Cabealho"/>
      <w:rPr>
        <w:b/>
      </w:rPr>
    </w:pPr>
  </w:p>
  <w:p w14:paraId="5E42BDB8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41753275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81D7A96" w14:textId="77777777" w:rsidR="007A2377" w:rsidRPr="009D62CF" w:rsidRDefault="007A2377" w:rsidP="007A2377">
    <w:pPr>
      <w:pStyle w:val="Cabealho"/>
      <w:jc w:val="center"/>
    </w:pPr>
    <w:r w:rsidRPr="009D62CF">
      <w:rPr>
        <w:b/>
      </w:rPr>
      <w:t>Palácio Frei Miguelinho</w:t>
    </w:r>
  </w:p>
  <w:p w14:paraId="4908D60C" w14:textId="55414F65" w:rsidR="007B7122" w:rsidRDefault="007B71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910102">
    <w:abstractNumId w:val="8"/>
  </w:num>
  <w:num w:numId="2" w16cid:durableId="1937326895">
    <w:abstractNumId w:val="6"/>
  </w:num>
  <w:num w:numId="3" w16cid:durableId="989140911">
    <w:abstractNumId w:val="5"/>
  </w:num>
  <w:num w:numId="4" w16cid:durableId="1094977829">
    <w:abstractNumId w:val="4"/>
  </w:num>
  <w:num w:numId="5" w16cid:durableId="1706326937">
    <w:abstractNumId w:val="7"/>
  </w:num>
  <w:num w:numId="6" w16cid:durableId="312873089">
    <w:abstractNumId w:val="3"/>
  </w:num>
  <w:num w:numId="7" w16cid:durableId="2083867985">
    <w:abstractNumId w:val="2"/>
  </w:num>
  <w:num w:numId="8" w16cid:durableId="511575726">
    <w:abstractNumId w:val="1"/>
  </w:num>
  <w:num w:numId="9" w16cid:durableId="10230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974"/>
    <w:rsid w:val="0015074B"/>
    <w:rsid w:val="00175437"/>
    <w:rsid w:val="00197F52"/>
    <w:rsid w:val="001B517D"/>
    <w:rsid w:val="002334DD"/>
    <w:rsid w:val="00272E77"/>
    <w:rsid w:val="002835F4"/>
    <w:rsid w:val="0029639D"/>
    <w:rsid w:val="00326F90"/>
    <w:rsid w:val="00512DBF"/>
    <w:rsid w:val="007A2377"/>
    <w:rsid w:val="007B7122"/>
    <w:rsid w:val="009915C1"/>
    <w:rsid w:val="00AA1D8D"/>
    <w:rsid w:val="00AA4E6C"/>
    <w:rsid w:val="00B47730"/>
    <w:rsid w:val="00CB0664"/>
    <w:rsid w:val="00CD174D"/>
    <w:rsid w:val="00D3499E"/>
    <w:rsid w:val="00F07D74"/>
    <w:rsid w:val="00F26B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0C3B0A-ECB0-4ED1-8EB4-549AF81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2</cp:revision>
  <dcterms:created xsi:type="dcterms:W3CDTF">2026-06-29T14:42:00Z</dcterms:created>
  <dcterms:modified xsi:type="dcterms:W3CDTF">2026-06-29T14:42:00Z</dcterms:modified>
  <cp:category/>
</cp:coreProperties>
</file>